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8B3" w14:textId="77777777" w:rsidR="005F0F1F" w:rsidRPr="008A65A2" w:rsidRDefault="005F0F1F" w:rsidP="00FD7048">
      <w:pPr>
        <w:pStyle w:val="Corpodetexto"/>
        <w:spacing w:line="360" w:lineRule="auto"/>
        <w:rPr>
          <w:rFonts w:ascii="Times New Roman"/>
          <w:sz w:val="10"/>
          <w:szCs w:val="10"/>
        </w:rPr>
      </w:pPr>
    </w:p>
    <w:p w14:paraId="0E273E33" w14:textId="4D363239" w:rsidR="005F0F1F" w:rsidRPr="004754E1" w:rsidRDefault="0018212C" w:rsidP="00FD7048">
      <w:pPr>
        <w:pStyle w:val="Ttulo2"/>
        <w:spacing w:before="226" w:line="360" w:lineRule="auto"/>
        <w:ind w:left="3465" w:right="3484"/>
        <w:rPr>
          <w:sz w:val="22"/>
          <w:szCs w:val="22"/>
        </w:rPr>
      </w:pPr>
      <w:r w:rsidRPr="004754E1">
        <w:rPr>
          <w:sz w:val="22"/>
          <w:szCs w:val="22"/>
        </w:rPr>
        <w:t>DECRETO</w:t>
      </w:r>
      <w:r w:rsidRPr="004754E1">
        <w:rPr>
          <w:spacing w:val="-2"/>
          <w:sz w:val="22"/>
          <w:szCs w:val="22"/>
        </w:rPr>
        <w:t xml:space="preserve"> </w:t>
      </w:r>
      <w:r w:rsidRPr="004754E1">
        <w:rPr>
          <w:sz w:val="22"/>
          <w:szCs w:val="22"/>
        </w:rPr>
        <w:t xml:space="preserve">N. </w:t>
      </w:r>
      <w:r w:rsidR="004754E1" w:rsidRPr="004754E1">
        <w:rPr>
          <w:sz w:val="22"/>
          <w:szCs w:val="22"/>
        </w:rPr>
        <w:t>407</w:t>
      </w:r>
      <w:r w:rsidRPr="004754E1">
        <w:rPr>
          <w:sz w:val="22"/>
          <w:szCs w:val="22"/>
        </w:rPr>
        <w:t>/2024</w:t>
      </w:r>
    </w:p>
    <w:p w14:paraId="1289F5D5" w14:textId="77777777" w:rsidR="005F0F1F" w:rsidRPr="000D60EE" w:rsidRDefault="005F0F1F" w:rsidP="00FD7048">
      <w:pPr>
        <w:pStyle w:val="Corpodetexto"/>
        <w:spacing w:line="360" w:lineRule="auto"/>
        <w:rPr>
          <w:rFonts w:ascii="Arial"/>
          <w:b/>
          <w:sz w:val="22"/>
          <w:szCs w:val="22"/>
        </w:rPr>
      </w:pPr>
    </w:p>
    <w:p w14:paraId="503121E4" w14:textId="1ACB6B38" w:rsidR="005F0F1F" w:rsidRPr="000D60EE" w:rsidRDefault="00FD7048" w:rsidP="00FD7048">
      <w:pPr>
        <w:pStyle w:val="Corpodetexto"/>
        <w:spacing w:before="1" w:line="360" w:lineRule="auto"/>
        <w:ind w:left="4079" w:right="131"/>
        <w:jc w:val="both"/>
        <w:rPr>
          <w:sz w:val="22"/>
          <w:szCs w:val="22"/>
        </w:rPr>
      </w:pPr>
      <w:r w:rsidRPr="000D60EE">
        <w:rPr>
          <w:sz w:val="22"/>
          <w:szCs w:val="22"/>
        </w:rPr>
        <w:t xml:space="preserve">Altera o Decreto nº </w:t>
      </w:r>
      <w:r w:rsidR="004754E1">
        <w:rPr>
          <w:sz w:val="22"/>
          <w:szCs w:val="22"/>
        </w:rPr>
        <w:t>400</w:t>
      </w:r>
      <w:r w:rsidRPr="000D60EE">
        <w:rPr>
          <w:sz w:val="22"/>
          <w:szCs w:val="22"/>
        </w:rPr>
        <w:t xml:space="preserve">/2024 acerca do </w:t>
      </w:r>
      <w:r w:rsidR="004754E1">
        <w:rPr>
          <w:sz w:val="22"/>
          <w:szCs w:val="22"/>
        </w:rPr>
        <w:t>recesso</w:t>
      </w:r>
      <w:r w:rsidRPr="000D60EE">
        <w:rPr>
          <w:sz w:val="22"/>
          <w:szCs w:val="22"/>
        </w:rPr>
        <w:t xml:space="preserve"> </w:t>
      </w:r>
      <w:r w:rsidR="004754E1">
        <w:rPr>
          <w:sz w:val="22"/>
          <w:szCs w:val="22"/>
        </w:rPr>
        <w:t>de final de ano aos servidores públicos do Poder Executivo Municipal e dá outras providências.</w:t>
      </w:r>
    </w:p>
    <w:p w14:paraId="07EDFA1A" w14:textId="77777777" w:rsidR="005F0F1F" w:rsidRPr="000D60EE" w:rsidRDefault="005F0F1F" w:rsidP="00FD7048">
      <w:pPr>
        <w:pStyle w:val="Corpodetexto"/>
        <w:spacing w:line="360" w:lineRule="auto"/>
        <w:rPr>
          <w:sz w:val="22"/>
          <w:szCs w:val="22"/>
        </w:rPr>
      </w:pPr>
    </w:p>
    <w:p w14:paraId="4FA07BDB" w14:textId="77777777" w:rsidR="005F0F1F" w:rsidRPr="000D60EE" w:rsidRDefault="005F0F1F" w:rsidP="00FD7048">
      <w:pPr>
        <w:pStyle w:val="Corpodetexto"/>
        <w:spacing w:before="4" w:line="360" w:lineRule="auto"/>
        <w:rPr>
          <w:sz w:val="22"/>
          <w:szCs w:val="22"/>
        </w:rPr>
      </w:pPr>
    </w:p>
    <w:p w14:paraId="5ABC542D" w14:textId="77777777" w:rsidR="005F0F1F" w:rsidRPr="000D60EE" w:rsidRDefault="0018212C" w:rsidP="00FD7048">
      <w:pPr>
        <w:pStyle w:val="Corpodetexto"/>
        <w:spacing w:line="360" w:lineRule="auto"/>
        <w:ind w:right="128" w:firstLine="851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>LUIZ CLÓVIS</w:t>
      </w:r>
      <w:r w:rsidRPr="000D60EE">
        <w:rPr>
          <w:rFonts w:ascii="Arial" w:hAnsi="Arial"/>
          <w:b/>
          <w:spacing w:val="1"/>
          <w:sz w:val="22"/>
          <w:szCs w:val="22"/>
        </w:rPr>
        <w:t xml:space="preserve"> </w:t>
      </w:r>
      <w:r w:rsidRPr="000D60EE">
        <w:rPr>
          <w:rFonts w:ascii="Arial" w:hAnsi="Arial"/>
          <w:b/>
          <w:sz w:val="22"/>
          <w:szCs w:val="22"/>
        </w:rPr>
        <w:t>DAL PIVA</w:t>
      </w:r>
      <w:r w:rsidRPr="000D60EE">
        <w:rPr>
          <w:sz w:val="22"/>
          <w:szCs w:val="22"/>
        </w:rPr>
        <w:t>,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Prefeito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Municipal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Guatambu, Estado de Santa Catarina, no uso das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atribuições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que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lhe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são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conferidas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pela</w:t>
      </w:r>
      <w:r w:rsidRPr="000D60EE">
        <w:rPr>
          <w:spacing w:val="1"/>
          <w:sz w:val="22"/>
          <w:szCs w:val="22"/>
        </w:rPr>
        <w:t xml:space="preserve"> </w:t>
      </w:r>
      <w:hyperlink r:id="rId7">
        <w:r w:rsidRPr="000D60EE">
          <w:rPr>
            <w:sz w:val="22"/>
            <w:szCs w:val="22"/>
          </w:rPr>
          <w:t>Lei</w:t>
        </w:r>
      </w:hyperlink>
      <w:r w:rsidRPr="000D60EE">
        <w:rPr>
          <w:spacing w:val="1"/>
          <w:sz w:val="22"/>
          <w:szCs w:val="22"/>
        </w:rPr>
        <w:t xml:space="preserve"> </w:t>
      </w:r>
      <w:hyperlink r:id="rId8">
        <w:r w:rsidRPr="000D60EE">
          <w:rPr>
            <w:sz w:val="22"/>
            <w:szCs w:val="22"/>
          </w:rPr>
          <w:t>Or</w:t>
        </w:r>
      </w:hyperlink>
      <w:hyperlink r:id="rId9">
        <w:r w:rsidRPr="000D60EE">
          <w:rPr>
            <w:sz w:val="22"/>
            <w:szCs w:val="22"/>
          </w:rPr>
          <w:t>g</w:t>
        </w:r>
      </w:hyperlink>
      <w:hyperlink r:id="rId10">
        <w:r w:rsidRPr="000D60EE">
          <w:rPr>
            <w:sz w:val="22"/>
            <w:szCs w:val="22"/>
          </w:rPr>
          <w:t>ânica</w:t>
        </w:r>
        <w:r w:rsidRPr="000D60EE">
          <w:rPr>
            <w:spacing w:val="-2"/>
            <w:sz w:val="22"/>
            <w:szCs w:val="22"/>
          </w:rPr>
          <w:t xml:space="preserve"> </w:t>
        </w:r>
      </w:hyperlink>
      <w:r w:rsidRPr="000D60EE">
        <w:rPr>
          <w:sz w:val="22"/>
          <w:szCs w:val="22"/>
        </w:rPr>
        <w:t>do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Município.</w:t>
      </w:r>
    </w:p>
    <w:p w14:paraId="51BA8009" w14:textId="77777777" w:rsidR="005F0F1F" w:rsidRPr="000D60EE" w:rsidRDefault="005F0F1F" w:rsidP="00FD7048">
      <w:pPr>
        <w:pStyle w:val="Corpodetexto"/>
        <w:spacing w:before="6" w:line="360" w:lineRule="auto"/>
        <w:rPr>
          <w:sz w:val="22"/>
          <w:szCs w:val="22"/>
        </w:rPr>
      </w:pPr>
    </w:p>
    <w:p w14:paraId="4C1D2D5A" w14:textId="4ADDFE8F" w:rsidR="005F0F1F" w:rsidRPr="000D60EE" w:rsidRDefault="0018212C" w:rsidP="00883ED4">
      <w:pPr>
        <w:pStyle w:val="Corpodetexto"/>
        <w:spacing w:line="360" w:lineRule="auto"/>
        <w:ind w:right="105" w:firstLine="851"/>
        <w:jc w:val="both"/>
        <w:rPr>
          <w:sz w:val="22"/>
          <w:szCs w:val="22"/>
        </w:rPr>
      </w:pPr>
      <w:r w:rsidRPr="000D60EE">
        <w:rPr>
          <w:b/>
          <w:bCs/>
          <w:sz w:val="22"/>
          <w:szCs w:val="22"/>
        </w:rPr>
        <w:t>Considerando</w:t>
      </w:r>
      <w:r w:rsidRPr="000D60EE">
        <w:rPr>
          <w:spacing w:val="1"/>
          <w:sz w:val="22"/>
          <w:szCs w:val="22"/>
        </w:rPr>
        <w:t xml:space="preserve"> </w:t>
      </w:r>
      <w:r w:rsidR="004754E1">
        <w:rPr>
          <w:spacing w:val="1"/>
          <w:sz w:val="22"/>
          <w:szCs w:val="22"/>
        </w:rPr>
        <w:t>o calendário da Secretaria de Educação do Município;</w:t>
      </w:r>
    </w:p>
    <w:p w14:paraId="34D8F8C3" w14:textId="77777777" w:rsidR="005F0F1F" w:rsidRPr="000D60EE" w:rsidRDefault="005F0F1F" w:rsidP="00FD7048">
      <w:pPr>
        <w:pStyle w:val="Corpodetexto"/>
        <w:spacing w:before="4" w:line="360" w:lineRule="auto"/>
        <w:rPr>
          <w:sz w:val="22"/>
          <w:szCs w:val="22"/>
        </w:rPr>
      </w:pPr>
    </w:p>
    <w:p w14:paraId="02CC15C7" w14:textId="77777777" w:rsidR="005F0F1F" w:rsidRPr="000D60EE" w:rsidRDefault="0018212C" w:rsidP="00FD7048">
      <w:pPr>
        <w:pStyle w:val="Ttulo2"/>
        <w:spacing w:line="360" w:lineRule="auto"/>
        <w:jc w:val="left"/>
        <w:rPr>
          <w:sz w:val="22"/>
          <w:szCs w:val="22"/>
        </w:rPr>
      </w:pPr>
      <w:r w:rsidRPr="000D60EE">
        <w:rPr>
          <w:sz w:val="22"/>
          <w:szCs w:val="22"/>
        </w:rPr>
        <w:t>DECRETA</w:t>
      </w:r>
    </w:p>
    <w:p w14:paraId="6A6C2AF6" w14:textId="77777777" w:rsidR="005F0F1F" w:rsidRPr="000D60EE" w:rsidRDefault="005F0F1F" w:rsidP="00FD7048">
      <w:pPr>
        <w:pStyle w:val="Corpodetexto"/>
        <w:spacing w:line="360" w:lineRule="auto"/>
        <w:rPr>
          <w:rFonts w:ascii="Arial"/>
          <w:b/>
          <w:sz w:val="22"/>
          <w:szCs w:val="22"/>
        </w:rPr>
      </w:pPr>
    </w:p>
    <w:p w14:paraId="551EBFB2" w14:textId="1417CE03" w:rsidR="004754E1" w:rsidRPr="000D60EE" w:rsidRDefault="0018212C" w:rsidP="004754E1">
      <w:pPr>
        <w:pStyle w:val="Corpodetexto"/>
        <w:spacing w:before="231" w:line="360" w:lineRule="auto"/>
        <w:ind w:left="109" w:right="103"/>
        <w:jc w:val="both"/>
        <w:rPr>
          <w:rFonts w:ascii="Arial" w:hAnsi="Arial"/>
          <w:bCs/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1º </w:t>
      </w:r>
      <w:r w:rsidR="004754E1">
        <w:rPr>
          <w:rFonts w:ascii="Arial" w:hAnsi="Arial"/>
          <w:bCs/>
          <w:sz w:val="22"/>
          <w:szCs w:val="22"/>
        </w:rPr>
        <w:t xml:space="preserve">Altera o artigo 5º do Decreto nº 400/2024, de forma que deverão ser aplicadas as regras do recesso previstas no mencionado Decreto também aos profissionais do Magistério. </w:t>
      </w:r>
    </w:p>
    <w:p w14:paraId="5DB98D0B" w14:textId="77777777" w:rsidR="004754E1" w:rsidRDefault="004754E1" w:rsidP="00FD7048">
      <w:pPr>
        <w:pStyle w:val="Corpodetexto"/>
        <w:spacing w:line="360" w:lineRule="auto"/>
        <w:ind w:left="109" w:right="103"/>
        <w:jc w:val="both"/>
        <w:rPr>
          <w:rFonts w:ascii="Arial" w:hAnsi="Arial"/>
          <w:b/>
          <w:sz w:val="22"/>
          <w:szCs w:val="22"/>
        </w:rPr>
      </w:pPr>
    </w:p>
    <w:p w14:paraId="3C98C4FD" w14:textId="305B5CDC" w:rsidR="005F0F1F" w:rsidRDefault="0018212C" w:rsidP="004754E1">
      <w:pPr>
        <w:pStyle w:val="Corpodetexto"/>
        <w:spacing w:line="360" w:lineRule="auto"/>
        <w:ind w:left="109" w:right="103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</w:t>
      </w:r>
      <w:r w:rsidR="00FD7048" w:rsidRPr="000D60EE">
        <w:rPr>
          <w:rFonts w:ascii="Arial" w:hAnsi="Arial"/>
          <w:b/>
          <w:sz w:val="22"/>
          <w:szCs w:val="22"/>
        </w:rPr>
        <w:t>2</w:t>
      </w:r>
      <w:r w:rsidRPr="000D60EE">
        <w:rPr>
          <w:rFonts w:ascii="Arial" w:hAnsi="Arial"/>
          <w:b/>
          <w:sz w:val="22"/>
          <w:szCs w:val="22"/>
        </w:rPr>
        <w:t xml:space="preserve">º </w:t>
      </w:r>
      <w:r w:rsidRPr="000D60EE">
        <w:rPr>
          <w:sz w:val="22"/>
          <w:szCs w:val="22"/>
        </w:rPr>
        <w:t>Este Decreto entra em vigor na data de sua publicação</w:t>
      </w:r>
      <w:r w:rsidR="004754E1">
        <w:rPr>
          <w:sz w:val="22"/>
          <w:szCs w:val="22"/>
        </w:rPr>
        <w:t>.</w:t>
      </w:r>
    </w:p>
    <w:p w14:paraId="3C062017" w14:textId="77777777" w:rsidR="004754E1" w:rsidRPr="000D60EE" w:rsidRDefault="004754E1" w:rsidP="004754E1">
      <w:pPr>
        <w:pStyle w:val="Corpodetexto"/>
        <w:spacing w:line="360" w:lineRule="auto"/>
        <w:ind w:left="109" w:right="103"/>
        <w:jc w:val="both"/>
        <w:rPr>
          <w:sz w:val="22"/>
          <w:szCs w:val="22"/>
        </w:rPr>
      </w:pPr>
    </w:p>
    <w:p w14:paraId="1CED810A" w14:textId="30D34320" w:rsidR="005F0F1F" w:rsidRPr="000D60EE" w:rsidRDefault="0018212C" w:rsidP="00FD7048">
      <w:pPr>
        <w:pStyle w:val="Corpodetexto"/>
        <w:spacing w:line="360" w:lineRule="auto"/>
        <w:ind w:left="109" w:right="98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</w:t>
      </w:r>
      <w:r w:rsidR="00027093" w:rsidRPr="000D60EE">
        <w:rPr>
          <w:rFonts w:ascii="Arial" w:hAnsi="Arial"/>
          <w:b/>
          <w:sz w:val="22"/>
          <w:szCs w:val="22"/>
        </w:rPr>
        <w:t>3</w:t>
      </w:r>
      <w:r w:rsidRPr="000D60EE">
        <w:rPr>
          <w:rFonts w:ascii="Arial" w:hAnsi="Arial"/>
          <w:b/>
          <w:sz w:val="22"/>
          <w:szCs w:val="22"/>
        </w:rPr>
        <w:t xml:space="preserve">º </w:t>
      </w:r>
      <w:r w:rsidR="00FD7048" w:rsidRPr="000D60EE">
        <w:rPr>
          <w:sz w:val="22"/>
          <w:szCs w:val="22"/>
        </w:rPr>
        <w:t xml:space="preserve">Restam mantidas as demais determinações do Decreto nº </w:t>
      </w:r>
      <w:r w:rsidR="004754E1">
        <w:rPr>
          <w:sz w:val="22"/>
          <w:szCs w:val="22"/>
        </w:rPr>
        <w:t>400</w:t>
      </w:r>
      <w:r w:rsidR="00FD7048" w:rsidRPr="000D60EE">
        <w:rPr>
          <w:sz w:val="22"/>
          <w:szCs w:val="22"/>
        </w:rPr>
        <w:t>/2024.</w:t>
      </w:r>
    </w:p>
    <w:p w14:paraId="4CC4200D" w14:textId="77777777" w:rsidR="00FD7048" w:rsidRPr="000D60EE" w:rsidRDefault="00FD7048" w:rsidP="00FD7048">
      <w:pPr>
        <w:pStyle w:val="Corpodetexto"/>
        <w:spacing w:line="360" w:lineRule="auto"/>
        <w:ind w:left="109" w:right="98"/>
        <w:jc w:val="both"/>
        <w:rPr>
          <w:sz w:val="22"/>
          <w:szCs w:val="22"/>
        </w:rPr>
      </w:pPr>
    </w:p>
    <w:p w14:paraId="5E7C14FA" w14:textId="77777777" w:rsidR="005F0F1F" w:rsidRPr="000D60EE" w:rsidRDefault="005F0F1F" w:rsidP="00FD7048">
      <w:pPr>
        <w:spacing w:line="360" w:lineRule="auto"/>
        <w:sectPr w:rsidR="005F0F1F" w:rsidRPr="000D60EE">
          <w:headerReference w:type="default" r:id="rId11"/>
          <w:footerReference w:type="default" r:id="rId12"/>
          <w:pgSz w:w="11910" w:h="17580"/>
          <w:pgMar w:top="1740" w:right="1000" w:bottom="1440" w:left="1480" w:header="921" w:footer="1253" w:gutter="0"/>
          <w:cols w:space="720"/>
        </w:sectPr>
      </w:pPr>
    </w:p>
    <w:p w14:paraId="593DAB70" w14:textId="3D594D6E" w:rsidR="005F0F1F" w:rsidRDefault="0018212C" w:rsidP="00FD7048">
      <w:pPr>
        <w:pStyle w:val="Corpodetexto"/>
        <w:spacing w:before="93" w:line="360" w:lineRule="auto"/>
        <w:ind w:left="109"/>
        <w:rPr>
          <w:sz w:val="22"/>
          <w:szCs w:val="22"/>
        </w:rPr>
      </w:pPr>
      <w:r w:rsidRPr="000D60EE">
        <w:rPr>
          <w:sz w:val="22"/>
          <w:szCs w:val="22"/>
        </w:rPr>
        <w:t xml:space="preserve">Guatambu/SC, </w:t>
      </w:r>
      <w:r w:rsidR="004754E1">
        <w:rPr>
          <w:sz w:val="22"/>
          <w:szCs w:val="22"/>
        </w:rPr>
        <w:t>1</w:t>
      </w:r>
      <w:r w:rsidR="00AD339F">
        <w:rPr>
          <w:sz w:val="22"/>
          <w:szCs w:val="22"/>
        </w:rPr>
        <w:t>6</w:t>
      </w:r>
      <w:r w:rsidR="004754E1">
        <w:rPr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2"/>
          <w:sz w:val="22"/>
          <w:szCs w:val="22"/>
        </w:rPr>
        <w:t xml:space="preserve"> </w:t>
      </w:r>
      <w:r w:rsidR="004754E1">
        <w:rPr>
          <w:spacing w:val="-2"/>
          <w:sz w:val="22"/>
          <w:szCs w:val="22"/>
        </w:rPr>
        <w:t>dezem</w:t>
      </w:r>
      <w:r w:rsidRPr="000D60EE">
        <w:rPr>
          <w:sz w:val="22"/>
          <w:szCs w:val="22"/>
        </w:rPr>
        <w:t>bro</w:t>
      </w:r>
      <w:r w:rsidRPr="000D60EE">
        <w:rPr>
          <w:spacing w:val="-2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2024.</w:t>
      </w:r>
    </w:p>
    <w:p w14:paraId="67BE0D23" w14:textId="77777777" w:rsidR="000D60EE" w:rsidRPr="000D60EE" w:rsidRDefault="000D60EE" w:rsidP="00FD7048">
      <w:pPr>
        <w:pStyle w:val="Ttulo2"/>
        <w:spacing w:before="52" w:line="360" w:lineRule="auto"/>
        <w:ind w:left="2510" w:right="2532"/>
        <w:rPr>
          <w:sz w:val="22"/>
          <w:szCs w:val="22"/>
        </w:rPr>
      </w:pPr>
    </w:p>
    <w:p w14:paraId="1745BD41" w14:textId="4979FBCF" w:rsidR="005F0F1F" w:rsidRPr="000D60EE" w:rsidRDefault="0018212C" w:rsidP="00FD7048">
      <w:pPr>
        <w:pStyle w:val="Ttulo2"/>
        <w:spacing w:before="52" w:line="360" w:lineRule="auto"/>
        <w:ind w:left="2510" w:right="2532"/>
        <w:rPr>
          <w:sz w:val="22"/>
          <w:szCs w:val="22"/>
        </w:rPr>
      </w:pPr>
      <w:r w:rsidRPr="000D60EE">
        <w:rPr>
          <w:sz w:val="22"/>
          <w:szCs w:val="22"/>
        </w:rPr>
        <w:t>LUIZ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CLÓVIS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DAL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PIVA</w:t>
      </w:r>
    </w:p>
    <w:p w14:paraId="697A13B8" w14:textId="77777777" w:rsidR="005F0F1F" w:rsidRPr="000D60EE" w:rsidRDefault="0018212C" w:rsidP="00FD7048">
      <w:pPr>
        <w:pStyle w:val="Corpodetexto"/>
        <w:spacing w:before="41" w:line="360" w:lineRule="auto"/>
        <w:ind w:left="2510" w:right="2535"/>
        <w:jc w:val="center"/>
        <w:rPr>
          <w:sz w:val="22"/>
          <w:szCs w:val="22"/>
        </w:rPr>
      </w:pPr>
      <w:r w:rsidRPr="000D60EE">
        <w:rPr>
          <w:sz w:val="22"/>
          <w:szCs w:val="22"/>
        </w:rPr>
        <w:t>Prefeito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Municipal</w:t>
      </w:r>
    </w:p>
    <w:sectPr w:rsidR="005F0F1F" w:rsidRPr="000D60EE">
      <w:type w:val="continuous"/>
      <w:pgSz w:w="11910" w:h="17580"/>
      <w:pgMar w:top="1740" w:right="1000" w:bottom="144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BD52" w14:textId="77777777" w:rsidR="00445422" w:rsidRDefault="00445422">
      <w:r>
        <w:separator/>
      </w:r>
    </w:p>
  </w:endnote>
  <w:endnote w:type="continuationSeparator" w:id="0">
    <w:p w14:paraId="533869A3" w14:textId="77777777" w:rsidR="00445422" w:rsidRDefault="0044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0099" w14:textId="4D0A8927" w:rsidR="005F0F1F" w:rsidRDefault="00FD70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C3866A" wp14:editId="0D59E749">
              <wp:simplePos x="0" y="0"/>
              <wp:positionH relativeFrom="page">
                <wp:posOffset>2034540</wp:posOffset>
              </wp:positionH>
              <wp:positionV relativeFrom="page">
                <wp:posOffset>10226675</wp:posOffset>
              </wp:positionV>
              <wp:extent cx="3783330" cy="328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19F0C" w14:textId="77777777" w:rsidR="005F0F1F" w:rsidRDefault="0018212C">
                          <w:pPr>
                            <w:spacing w:before="12"/>
                            <w:ind w:left="1839" w:right="4" w:hanging="18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t>Rua Manoel Rolim de Moura, 825, Centro — Fone (49) 3336-0102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0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  <w:t>www.guatambu.sc.gov.br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C386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2pt;margin-top:805.25pt;width:297.9pt;height: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" filled="f" stroked="f">
              <v:textbox inset="0,0,0,0">
                <w:txbxContent>
                  <w:p w14:paraId="50319F0C" w14:textId="77777777" w:rsidR="005F0F1F" w:rsidRDefault="0018212C">
                    <w:pPr>
                      <w:spacing w:before="12"/>
                      <w:ind w:left="1839" w:right="4" w:hanging="18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Rua Manoel Rolim de Moura, 825, Centro — Fone (49) 3336-0102</w:t>
                    </w:r>
                    <w:r>
                      <w:rPr>
                        <w:rFonts w:ascii="Times New Roman" w:hAnsi="Times New Roman"/>
                        <w:b/>
                        <w:spacing w:val="-50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www.guatambu.sc.gov.br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1EF9" w14:textId="77777777" w:rsidR="00445422" w:rsidRDefault="00445422">
      <w:r>
        <w:separator/>
      </w:r>
    </w:p>
  </w:footnote>
  <w:footnote w:type="continuationSeparator" w:id="0">
    <w:p w14:paraId="7BD110B7" w14:textId="77777777" w:rsidR="00445422" w:rsidRDefault="0044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17E" w14:textId="77777777" w:rsidR="005F0F1F" w:rsidRDefault="0018212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5E27CF" wp14:editId="6229F5B2">
          <wp:simplePos x="0" y="0"/>
          <wp:positionH relativeFrom="page">
            <wp:posOffset>1098282</wp:posOffset>
          </wp:positionH>
          <wp:positionV relativeFrom="page">
            <wp:posOffset>584948</wp:posOffset>
          </wp:positionV>
          <wp:extent cx="1862722" cy="5311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722" cy="53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938"/>
    <w:multiLevelType w:val="hybridMultilevel"/>
    <w:tmpl w:val="9EDE5330"/>
    <w:lvl w:ilvl="0" w:tplc="B6963E68">
      <w:start w:val="1"/>
      <w:numFmt w:val="upperRoman"/>
      <w:lvlText w:val="%1"/>
      <w:lvlJc w:val="left"/>
      <w:pPr>
        <w:ind w:left="238" w:hanging="13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69454C0">
      <w:numFmt w:val="bullet"/>
      <w:lvlText w:val="•"/>
      <w:lvlJc w:val="left"/>
      <w:pPr>
        <w:ind w:left="1158" w:hanging="130"/>
      </w:pPr>
      <w:rPr>
        <w:rFonts w:hint="default"/>
        <w:lang w:val="pt-PT" w:eastAsia="en-US" w:bidi="ar-SA"/>
      </w:rPr>
    </w:lvl>
    <w:lvl w:ilvl="2" w:tplc="9AD42FD8">
      <w:numFmt w:val="bullet"/>
      <w:lvlText w:val="•"/>
      <w:lvlJc w:val="left"/>
      <w:pPr>
        <w:ind w:left="2077" w:hanging="130"/>
      </w:pPr>
      <w:rPr>
        <w:rFonts w:hint="default"/>
        <w:lang w:val="pt-PT" w:eastAsia="en-US" w:bidi="ar-SA"/>
      </w:rPr>
    </w:lvl>
    <w:lvl w:ilvl="3" w:tplc="F446CD62">
      <w:numFmt w:val="bullet"/>
      <w:lvlText w:val="•"/>
      <w:lvlJc w:val="left"/>
      <w:pPr>
        <w:ind w:left="2995" w:hanging="130"/>
      </w:pPr>
      <w:rPr>
        <w:rFonts w:hint="default"/>
        <w:lang w:val="pt-PT" w:eastAsia="en-US" w:bidi="ar-SA"/>
      </w:rPr>
    </w:lvl>
    <w:lvl w:ilvl="4" w:tplc="DC7C188A">
      <w:numFmt w:val="bullet"/>
      <w:lvlText w:val="•"/>
      <w:lvlJc w:val="left"/>
      <w:pPr>
        <w:ind w:left="3914" w:hanging="130"/>
      </w:pPr>
      <w:rPr>
        <w:rFonts w:hint="default"/>
        <w:lang w:val="pt-PT" w:eastAsia="en-US" w:bidi="ar-SA"/>
      </w:rPr>
    </w:lvl>
    <w:lvl w:ilvl="5" w:tplc="E1121384">
      <w:numFmt w:val="bullet"/>
      <w:lvlText w:val="•"/>
      <w:lvlJc w:val="left"/>
      <w:pPr>
        <w:ind w:left="4833" w:hanging="130"/>
      </w:pPr>
      <w:rPr>
        <w:rFonts w:hint="default"/>
        <w:lang w:val="pt-PT" w:eastAsia="en-US" w:bidi="ar-SA"/>
      </w:rPr>
    </w:lvl>
    <w:lvl w:ilvl="6" w:tplc="29D2D040">
      <w:numFmt w:val="bullet"/>
      <w:lvlText w:val="•"/>
      <w:lvlJc w:val="left"/>
      <w:pPr>
        <w:ind w:left="5751" w:hanging="130"/>
      </w:pPr>
      <w:rPr>
        <w:rFonts w:hint="default"/>
        <w:lang w:val="pt-PT" w:eastAsia="en-US" w:bidi="ar-SA"/>
      </w:rPr>
    </w:lvl>
    <w:lvl w:ilvl="7" w:tplc="AC98C254">
      <w:numFmt w:val="bullet"/>
      <w:lvlText w:val="•"/>
      <w:lvlJc w:val="left"/>
      <w:pPr>
        <w:ind w:left="6670" w:hanging="130"/>
      </w:pPr>
      <w:rPr>
        <w:rFonts w:hint="default"/>
        <w:lang w:val="pt-PT" w:eastAsia="en-US" w:bidi="ar-SA"/>
      </w:rPr>
    </w:lvl>
    <w:lvl w:ilvl="8" w:tplc="8F7E51A0">
      <w:numFmt w:val="bullet"/>
      <w:lvlText w:val="•"/>
      <w:lvlJc w:val="left"/>
      <w:pPr>
        <w:ind w:left="7589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F"/>
    <w:rsid w:val="00027093"/>
    <w:rsid w:val="000D60EE"/>
    <w:rsid w:val="0018212C"/>
    <w:rsid w:val="00192B75"/>
    <w:rsid w:val="001E61A2"/>
    <w:rsid w:val="00240444"/>
    <w:rsid w:val="003143AB"/>
    <w:rsid w:val="00445422"/>
    <w:rsid w:val="004754E1"/>
    <w:rsid w:val="005F0F1F"/>
    <w:rsid w:val="00883ED4"/>
    <w:rsid w:val="008A65A2"/>
    <w:rsid w:val="008C36F8"/>
    <w:rsid w:val="00911A05"/>
    <w:rsid w:val="00953BA1"/>
    <w:rsid w:val="00A33AC4"/>
    <w:rsid w:val="00AD339F"/>
    <w:rsid w:val="00C01275"/>
    <w:rsid w:val="00EE7878"/>
    <w:rsid w:val="00FD19A6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2741"/>
  <w15:docId w15:val="{19D7BE56-EA7E-48C0-A26D-8F32229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ind w:left="109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guatambu-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guatambu-s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ismunicipais.com.br/a1/lei-organica-guatambu-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1/lei-organica-guatambu-s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tambu.sc.gov.br/" TargetMode="External"/><Relationship Id="rId1" Type="http://schemas.openxmlformats.org/officeDocument/2006/relationships/hyperlink" Target="http://www.guatambu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895/2008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895/2008</dc:title>
  <dc:creator>USO PESSOAL®</dc:creator>
  <cp:lastModifiedBy>JURIDICO</cp:lastModifiedBy>
  <cp:revision>3</cp:revision>
  <cp:lastPrinted>2024-12-16T11:52:00Z</cp:lastPrinted>
  <dcterms:created xsi:type="dcterms:W3CDTF">2024-12-11T14:16:00Z</dcterms:created>
  <dcterms:modified xsi:type="dcterms:W3CDTF">2024-12-16T11:56:00Z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